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sz w:val="46"/>
        </w:rPr>
        <w:t>KAT RECTOR</w:t>
      </w:r>
    </w:p>
    <w:p>
      <w:pPr>
        <w:spacing w:after="40"/>
        <w:jc w:val="center"/>
      </w:pPr>
      <w:r>
        <w:rPr>
          <w:b/>
          <w:sz w:val="18"/>
        </w:rPr>
        <w:t>BUSINESS STRATEGY  |  DIGITAL TRANSFORMATION  |  PROCESS OPTIMIZATION  |  STRATEGIC GROWTH</w:t>
      </w:r>
    </w:p>
    <w:p>
      <w:pPr>
        <w:spacing w:after="100"/>
        <w:jc w:val="center"/>
      </w:pPr>
      <w:r>
        <w:rPr>
          <w:sz w:val="16"/>
        </w:rPr>
        <w:t>Austin, Texas  |  Krector95@gmail.com  |  928-266-2430  |  linkedin.com/in/kat-rector/  |  katrector.com</w:t>
      </w:r>
    </w:p>
    <w:p>
      <w:pPr>
        <w:pStyle w:val="Heading1"/>
        <w:pBdr>
          <w:bottom w:val="single" w:sz="8" w:space="2" w:color="333333"/>
        </w:pBdr>
      </w:pPr>
      <w:r>
        <w:rPr>
          <w:b/>
        </w:rPr>
        <w:t>EXECUTIVE PROFILE</w:t>
      </w:r>
    </w:p>
    <w:p>
      <w:pPr>
        <w:spacing w:after="60"/>
      </w:pPr>
      <w:r>
        <w:t>Strategic technology and business leader with experience driving growth, operational improvement, digital transformation, and cross-functional initiatives across complex organizations. Skilled at translating business priorities into executable strategies, building programs and processes from the ground up, and aligning teams around measurable outcomes.</w:t>
      </w:r>
    </w:p>
    <w:p>
      <w:pPr>
        <w:spacing w:after="60"/>
      </w:pPr>
      <w:r>
        <w:t>Career experience spans technology strategy, strategic alliances, revenue growth, process optimization, go-to-market planning, and organizational change. Known for navigating complex stakeholder environments, establishing structure where it does not yet exist, and connecting technology investments and business initiatives to broader organizational goals.</w:t>
      </w:r>
    </w:p>
    <w:p>
      <w:pPr>
        <w:pStyle w:val="Heading1"/>
        <w:pBdr>
          <w:bottom w:val="single" w:sz="8" w:space="2" w:color="333333"/>
        </w:pBdr>
      </w:pPr>
      <w:r>
        <w:rPr>
          <w:b/>
        </w:rPr>
        <w:t>CORE EXPERTISE</w:t>
      </w:r>
    </w:p>
    <w:p>
      <w:pPr>
        <w:spacing w:after="60"/>
      </w:pPr>
      <w:r>
        <w:t>Business Strategy &amp; Planning | Digital Transformation | Process Optimization | Strategic Growth | Operational Strategy | Strategic Alliances | Go-to-Market Strategy | Revenue Strategy | Program Development | Workflow Redesign | Data &amp; Reporting | Cross-Functional Leadership | Change Management | Market Expansion | Executive Stakeholder Management</w:t>
      </w:r>
    </w:p>
    <w:p>
      <w:pPr>
        <w:pStyle w:val="Heading1"/>
        <w:pBdr>
          <w:bottom w:val="single" w:sz="8" w:space="2" w:color="333333"/>
        </w:pBdr>
      </w:pPr>
      <w:r>
        <w:rPr>
          <w:b/>
        </w:rPr>
        <w:t>PROFESSIONAL EXPERIENCE</w:t>
      </w:r>
    </w:p>
    <w:tbl>
      <w:tblPr>
        <w:tblW w:type="auto" w:w="0"/>
        <w:jc w:val="center"/>
        <w:tblLayout w:type="fixed"/>
        <w:tblLook w:firstColumn="1" w:firstRow="1" w:lastColumn="0" w:lastRow="0" w:noHBand="0" w:noVBand="1" w:val="04A0"/>
      </w:tblPr>
      <w:tblGrid>
        <w:gridCol w:w="8064"/>
        <w:gridCol w:w="2160"/>
      </w:tblGrid>
      <w:tr>
        <w:tc>
          <w:tcPr>
            <w:tcW w:type="dxa" w:w="5227"/>
            <w:tcMar>
              <w:top w:w="0" w:type="dxa"/>
              <w:start w:w="0" w:type="dxa"/>
              <w:bottom w:w="0" w:type="dxa"/>
              <w:end w:w="0" w:type="dxa"/>
            </w:tcMar>
          </w:tcPr>
          <w:p>
            <w:pPr>
              <w:spacing w:after="40" w:before="80"/>
            </w:pPr>
            <w:r>
              <w:rPr>
                <w:b/>
                <w:sz w:val="20"/>
              </w:rPr>
              <w:t>Strategic Alliances Manager</w:t>
            </w:r>
            <w:r>
              <w:rPr>
                <w:i/>
                <w:sz w:val="18"/>
              </w:rPr>
              <w:t xml:space="preserve">  |  Zoho</w:t>
            </w:r>
          </w:p>
        </w:tc>
        <w:tc>
          <w:tcPr>
            <w:tcW w:type="dxa" w:w="5227"/>
            <w:tcMar>
              <w:top w:w="0" w:type="dxa"/>
              <w:start w:w="0" w:type="dxa"/>
              <w:bottom w:w="0" w:type="dxa"/>
              <w:end w:w="0" w:type="dxa"/>
            </w:tcMar>
          </w:tcPr>
          <w:p>
            <w:pPr>
              <w:spacing w:after="40" w:before="80"/>
              <w:jc w:val="right"/>
            </w:pPr>
            <w:r>
              <w:rPr>
                <w:sz w:val="17"/>
              </w:rPr>
              <w:t>Jan 2026 – Present</w:t>
            </w:r>
          </w:p>
        </w:tc>
      </w:tr>
    </w:tbl>
    <w:p>
      <w:pPr>
        <w:pStyle w:val="ResumeBullet"/>
      </w:pPr>
      <w:r>
        <w:rPr>
          <w:b/>
        </w:rPr>
        <w:t xml:space="preserve">• </w:t>
      </w:r>
      <w:r>
        <w:t>Lead U.S. strategic alliances strategy and execution, building the operational foundation for a growing partner ecosystem across Zoho’s business technology portfolio.</w:t>
      </w:r>
    </w:p>
    <w:p>
      <w:pPr>
        <w:pStyle w:val="ResumeBullet"/>
      </w:pPr>
      <w:r>
        <w:rPr>
          <w:b/>
        </w:rPr>
        <w:t xml:space="preserve">• </w:t>
      </w:r>
      <w:r>
        <w:t>Build the U.S. alliances program from the ground up, establishing internal workflows, partnership tiers, operating structures, support processes, marketing resources, event activation models, and cross-functional governance.</w:t>
      </w:r>
    </w:p>
    <w:p>
      <w:pPr>
        <w:pStyle w:val="ResumeBullet"/>
      </w:pPr>
      <w:r>
        <w:rPr>
          <w:b/>
        </w:rPr>
        <w:t xml:space="preserve">• </w:t>
      </w:r>
      <w:r>
        <w:t>Coordinate dozens of stakeholders across global and U.S. product, sales, marketing, support, and leadership teams to establish scalable processes and execute partnership priorities.</w:t>
      </w:r>
    </w:p>
    <w:p>
      <w:pPr>
        <w:pStyle w:val="ResumeBullet"/>
      </w:pPr>
      <w:r>
        <w:rPr>
          <w:b/>
        </w:rPr>
        <w:t xml:space="preserve">• </w:t>
      </w:r>
      <w:r>
        <w:t>Develop annual and quarterly plans spanning market expansion, revenue strategy, business cases, organizational priorities, and new program and service launches.</w:t>
      </w:r>
    </w:p>
    <w:p>
      <w:pPr>
        <w:pStyle w:val="ResumeBullet"/>
      </w:pPr>
      <w:r>
        <w:rPr>
          <w:b/>
        </w:rPr>
        <w:t xml:space="preserve">• </w:t>
      </w:r>
      <w:r>
        <w:t>Lead the U.S. launch of Zoho for Startups, coordinating strategy, internal alignment, market activation, and cross-functional execution.</w:t>
      </w:r>
    </w:p>
    <w:p>
      <w:pPr>
        <w:pStyle w:val="ResumeBullet"/>
      </w:pPr>
      <w:r>
        <w:rPr>
          <w:b/>
        </w:rPr>
        <w:t xml:space="preserve">• </w:t>
      </w:r>
      <w:r>
        <w:t>Develop multi-year partnership strategies, joint business plans, go-to-market initiatives, co-selling opportunities, and expansion pathways designed to create mutual growth.</w:t>
      </w:r>
    </w:p>
    <w:p>
      <w:pPr>
        <w:pStyle w:val="ResumeBullet"/>
      </w:pPr>
      <w:r>
        <w:rPr>
          <w:b/>
        </w:rPr>
        <w:t xml:space="preserve">• </w:t>
      </w:r>
      <w:r>
        <w:t>Improve workflows, data visibility, and reporting practices to strengthen decision-making, performance measurement, and execution across the alliances program.</w:t>
      </w:r>
    </w:p>
    <w:p>
      <w:pPr>
        <w:pStyle w:val="ResumeBullet"/>
      </w:pPr>
      <w:r>
        <w:rPr>
          <w:b/>
        </w:rPr>
        <w:t xml:space="preserve">• </w:t>
      </w:r>
      <w:r>
        <w:t>Establish and manage relationships across Zoho’s global organization to navigate a complex international operating environment and create clearer pathways for U.S. alliance execution.</w:t>
      </w:r>
    </w:p>
    <w:tbl>
      <w:tblPr>
        <w:tblW w:type="auto" w:w="0"/>
        <w:jc w:val="center"/>
        <w:tblLayout w:type="fixed"/>
        <w:tblLook w:firstColumn="1" w:firstRow="1" w:lastColumn="0" w:lastRow="0" w:noHBand="0" w:noVBand="1" w:val="04A0"/>
      </w:tblPr>
      <w:tblGrid>
        <w:gridCol w:w="8064"/>
        <w:gridCol w:w="2160"/>
      </w:tblGrid>
      <w:tr>
        <w:tc>
          <w:tcPr>
            <w:tcW w:type="dxa" w:w="5227"/>
            <w:tcMar>
              <w:top w:w="0" w:type="dxa"/>
              <w:start w:w="0" w:type="dxa"/>
              <w:bottom w:w="0" w:type="dxa"/>
              <w:end w:w="0" w:type="dxa"/>
            </w:tcMar>
          </w:tcPr>
          <w:p>
            <w:pPr>
              <w:spacing w:after="40" w:before="80"/>
            </w:pPr>
            <w:r>
              <w:rPr>
                <w:b/>
                <w:sz w:val="20"/>
              </w:rPr>
              <w:t>Strategic IT Engagement Manager</w:t>
            </w:r>
            <w:r>
              <w:rPr>
                <w:i/>
                <w:sz w:val="18"/>
              </w:rPr>
              <w:t xml:space="preserve">  |  Advantage Technical, Staffmark Group &amp; Recruit Holdings</w:t>
            </w:r>
          </w:p>
        </w:tc>
        <w:tc>
          <w:tcPr>
            <w:tcW w:type="dxa" w:w="5227"/>
            <w:tcMar>
              <w:top w:w="0" w:type="dxa"/>
              <w:start w:w="0" w:type="dxa"/>
              <w:bottom w:w="0" w:type="dxa"/>
              <w:end w:w="0" w:type="dxa"/>
            </w:tcMar>
          </w:tcPr>
          <w:p>
            <w:pPr>
              <w:spacing w:after="40" w:before="80"/>
              <w:jc w:val="right"/>
            </w:pPr>
            <w:r>
              <w:rPr>
                <w:sz w:val="17"/>
              </w:rPr>
              <w:t>Dec 2024 – Dec 2025</w:t>
            </w:r>
          </w:p>
        </w:tc>
      </w:tr>
    </w:tbl>
    <w:p>
      <w:pPr>
        <w:pStyle w:val="ResumeBullet"/>
      </w:pPr>
      <w:r>
        <w:rPr>
          <w:b/>
        </w:rPr>
        <w:t xml:space="preserve">• </w:t>
      </w:r>
      <w:r>
        <w:t>Developed and executed growth strategies across technology, public-sector, and industry partnerships, opening access to an estimated $2.6B annual opportunity set.</w:t>
      </w:r>
    </w:p>
    <w:p>
      <w:pPr>
        <w:pStyle w:val="ResumeBullet"/>
      </w:pPr>
      <w:r>
        <w:rPr>
          <w:b/>
        </w:rPr>
        <w:t xml:space="preserve">• </w:t>
      </w:r>
      <w:r>
        <w:t>Designed go-to-market strategies including market segmentation, target-account prioritization, partnership development, and sales enablement initiatives.</w:t>
      </w:r>
    </w:p>
    <w:p>
      <w:pPr>
        <w:pStyle w:val="ResumeBullet"/>
      </w:pPr>
      <w:r>
        <w:rPr>
          <w:b/>
        </w:rPr>
        <w:t xml:space="preserve">• </w:t>
      </w:r>
      <w:r>
        <w:t>Partnered with senior leadership to support organizational priorities during a major merger and the introduction of new service lines, helping reposition capabilities across existing and prospective markets.</w:t>
      </w:r>
    </w:p>
    <w:p>
      <w:pPr>
        <w:pStyle w:val="ResumeBullet"/>
      </w:pPr>
      <w:r>
        <w:rPr>
          <w:b/>
        </w:rPr>
        <w:t xml:space="preserve">• </w:t>
      </w:r>
      <w:r>
        <w:t>Redesigned workflows and improved reporting practices to increase visibility, consistency, and decision-making across strategic initiatives.</w:t>
      </w:r>
    </w:p>
    <w:p>
      <w:pPr>
        <w:pStyle w:val="ResumeBullet"/>
      </w:pPr>
      <w:r>
        <w:rPr>
          <w:b/>
        </w:rPr>
        <w:t xml:space="preserve">• </w:t>
      </w:r>
      <w:r>
        <w:t>Led cross-functional programs spanning technology, sales, learning and development, and sister companies, aligning stakeholders around shared priorities, milestones, and measurable outcomes.</w:t>
      </w:r>
    </w:p>
    <w:p>
      <w:pPr>
        <w:pStyle w:val="ResumeBullet"/>
      </w:pPr>
      <w:r>
        <w:rPr>
          <w:b/>
        </w:rPr>
        <w:t xml:space="preserve">• </w:t>
      </w:r>
      <w:r>
        <w:t>Evaluated sales, onboarding, hiring, and enablement processes to identify gaps and develop standardized workflows, resources, and process improvements.</w:t>
      </w:r>
    </w:p>
    <w:p>
      <w:pPr>
        <w:pStyle w:val="ResumeBullet"/>
      </w:pPr>
      <w:r>
        <w:rPr>
          <w:b/>
        </w:rPr>
        <w:t xml:space="preserve">• </w:t>
      </w:r>
      <w:r>
        <w:t>Developed scalable market resources and enablement programs designed to accelerate new-hire effectiveness and improve execution across markets.</w:t>
      </w:r>
    </w:p>
    <w:tbl>
      <w:tblPr>
        <w:tblW w:type="auto" w:w="0"/>
        <w:jc w:val="center"/>
        <w:tblLayout w:type="fixed"/>
        <w:tblLook w:firstColumn="1" w:firstRow="1" w:lastColumn="0" w:lastRow="0" w:noHBand="0" w:noVBand="1" w:val="04A0"/>
      </w:tblPr>
      <w:tblGrid>
        <w:gridCol w:w="8064"/>
        <w:gridCol w:w="2160"/>
      </w:tblGrid>
      <w:tr>
        <w:tc>
          <w:tcPr>
            <w:tcW w:type="dxa" w:w="5227"/>
            <w:tcMar>
              <w:top w:w="0" w:type="dxa"/>
              <w:start w:w="0" w:type="dxa"/>
              <w:bottom w:w="0" w:type="dxa"/>
              <w:end w:w="0" w:type="dxa"/>
            </w:tcMar>
          </w:tcPr>
          <w:p>
            <w:pPr>
              <w:spacing w:after="40" w:before="80"/>
            </w:pPr>
            <w:r>
              <w:rPr>
                <w:b/>
                <w:sz w:val="20"/>
              </w:rPr>
              <w:t>Strategic Development &amp; Community Engagement</w:t>
            </w:r>
            <w:r>
              <w:rPr>
                <w:i/>
                <w:sz w:val="18"/>
              </w:rPr>
              <w:t xml:space="preserve">  |  Akkodis, formerly Modis</w:t>
            </w:r>
          </w:p>
        </w:tc>
        <w:tc>
          <w:tcPr>
            <w:tcW w:type="dxa" w:w="5227"/>
            <w:tcMar>
              <w:top w:w="0" w:type="dxa"/>
              <w:start w:w="0" w:type="dxa"/>
              <w:bottom w:w="0" w:type="dxa"/>
              <w:end w:w="0" w:type="dxa"/>
            </w:tcMar>
          </w:tcPr>
          <w:p>
            <w:pPr>
              <w:spacing w:after="40" w:before="80"/>
              <w:jc w:val="right"/>
            </w:pPr>
            <w:r>
              <w:rPr>
                <w:sz w:val="17"/>
              </w:rPr>
              <w:t>Jan 2022 – Nov 2024</w:t>
            </w:r>
          </w:p>
        </w:tc>
      </w:tr>
    </w:tbl>
    <w:p>
      <w:pPr>
        <w:pStyle w:val="ResumeBullet"/>
      </w:pPr>
      <w:r>
        <w:rPr>
          <w:b/>
        </w:rPr>
        <w:t xml:space="preserve">• </w:t>
      </w:r>
      <w:r>
        <w:t>Led strategic development initiatives focused on expanding market presence, strengthening client relationships, and identifying new revenue opportunities across technology services.</w:t>
      </w:r>
    </w:p>
    <w:p>
      <w:pPr>
        <w:pStyle w:val="ResumeBullet"/>
      </w:pPr>
      <w:r>
        <w:rPr>
          <w:b/>
        </w:rPr>
        <w:t xml:space="preserve">• </w:t>
      </w:r>
      <w:r>
        <w:t>Developed and executed growth strategies across key accounts and markets, connecting client business priorities with technology and workforce solutions.</w:t>
      </w:r>
    </w:p>
    <w:p>
      <w:pPr>
        <w:pStyle w:val="ResumeBullet"/>
      </w:pPr>
      <w:r>
        <w:rPr>
          <w:b/>
        </w:rPr>
        <w:t xml:space="preserve">• </w:t>
      </w:r>
      <w:r>
        <w:t>Built relationships with technology executives, business leaders, industry organizations, and community partners to expand market reach and create new commercial opportunities.</w:t>
      </w:r>
    </w:p>
    <w:p>
      <w:pPr>
        <w:pStyle w:val="ResumeBullet"/>
      </w:pPr>
      <w:r>
        <w:rPr>
          <w:b/>
        </w:rPr>
        <w:t xml:space="preserve">• </w:t>
      </w:r>
      <w:r>
        <w:t>Supported statewide and enterprise-level pursuits by coordinating internal resources, stakeholder relationships, and solution strategies around complex client needs.</w:t>
      </w:r>
    </w:p>
    <w:p>
      <w:pPr>
        <w:pStyle w:val="ResumeBullet"/>
      </w:pPr>
      <w:r>
        <w:rPr>
          <w:b/>
        </w:rPr>
        <w:t xml:space="preserve">• </w:t>
      </w:r>
      <w:r>
        <w:t>Developed and launched engagement programs designed to strengthen relationships, improve market visibility, and create repeatable opportunities across the organization.</w:t>
      </w:r>
    </w:p>
    <w:p>
      <w:pPr>
        <w:pStyle w:val="ResumeBullet"/>
      </w:pPr>
      <w:r>
        <w:rPr>
          <w:b/>
        </w:rPr>
        <w:t xml:space="preserve">• </w:t>
      </w:r>
      <w:r>
        <w:t>Collaborated across sales, delivery, leadership, and technical teams to move strategic opportunities from initial engagement through execution.</w:t>
      </w:r>
    </w:p>
    <w:p>
      <w:pPr>
        <w:pStyle w:val="ResumeBullet"/>
      </w:pPr>
      <w:r>
        <w:rPr>
          <w:b/>
        </w:rPr>
        <w:t xml:space="preserve">• </w:t>
      </w:r>
      <w:r>
        <w:t>Recognized as an MVP for performance and impact, including record-setting deal activity and contributions to major statewide and national initiatives.</w:t>
      </w:r>
    </w:p>
    <w:tbl>
      <w:tblPr>
        <w:tblW w:type="auto" w:w="0"/>
        <w:jc w:val="center"/>
        <w:tblLayout w:type="fixed"/>
        <w:tblLook w:firstColumn="1" w:firstRow="1" w:lastColumn="0" w:lastRow="0" w:noHBand="0" w:noVBand="1" w:val="04A0"/>
      </w:tblPr>
      <w:tblGrid>
        <w:gridCol w:w="8064"/>
        <w:gridCol w:w="2160"/>
      </w:tblGrid>
      <w:tr>
        <w:tc>
          <w:tcPr>
            <w:tcW w:type="dxa" w:w="5227"/>
            <w:tcMar>
              <w:top w:w="0" w:type="dxa"/>
              <w:start w:w="0" w:type="dxa"/>
              <w:bottom w:w="0" w:type="dxa"/>
              <w:end w:w="0" w:type="dxa"/>
            </w:tcMar>
          </w:tcPr>
          <w:p>
            <w:pPr>
              <w:spacing w:after="40" w:before="80"/>
            </w:pPr>
            <w:r>
              <w:rPr>
                <w:b/>
                <w:sz w:val="20"/>
              </w:rPr>
              <w:t>Regional Business Development Manager</w:t>
            </w:r>
            <w:r>
              <w:rPr>
                <w:i/>
                <w:sz w:val="18"/>
              </w:rPr>
              <w:t xml:space="preserve">  |  Datawatch Systems</w:t>
            </w:r>
          </w:p>
        </w:tc>
        <w:tc>
          <w:tcPr>
            <w:tcW w:type="dxa" w:w="5227"/>
            <w:tcMar>
              <w:top w:w="0" w:type="dxa"/>
              <w:start w:w="0" w:type="dxa"/>
              <w:bottom w:w="0" w:type="dxa"/>
              <w:end w:w="0" w:type="dxa"/>
            </w:tcMar>
          </w:tcPr>
          <w:p>
            <w:pPr>
              <w:spacing w:after="40" w:before="80"/>
              <w:jc w:val="right"/>
            </w:pPr>
            <w:r>
              <w:rPr>
                <w:sz w:val="17"/>
              </w:rPr>
              <w:t>Jan 2017 – Dec 2021</w:t>
            </w:r>
          </w:p>
        </w:tc>
      </w:tr>
    </w:tbl>
    <w:p>
      <w:pPr>
        <w:pStyle w:val="ResumeBullet"/>
      </w:pPr>
      <w:r>
        <w:rPr>
          <w:b/>
        </w:rPr>
        <w:t xml:space="preserve">• </w:t>
      </w:r>
      <w:r>
        <w:t>Managed regional business development and growth initiatives, building relationships with commercial clients and identifying opportunities for technology-enabled security solutions.</w:t>
      </w:r>
    </w:p>
    <w:p>
      <w:pPr>
        <w:pStyle w:val="ResumeBullet"/>
      </w:pPr>
      <w:r>
        <w:rPr>
          <w:b/>
        </w:rPr>
        <w:t xml:space="preserve">• </w:t>
      </w:r>
      <w:r>
        <w:t>Developed market strategies and client engagement plans to expand regional presence and generate new business opportunities.</w:t>
      </w:r>
    </w:p>
    <w:p>
      <w:pPr>
        <w:pStyle w:val="ResumeBullet"/>
      </w:pPr>
      <w:r>
        <w:rPr>
          <w:b/>
        </w:rPr>
        <w:t xml:space="preserve">• </w:t>
      </w:r>
      <w:r>
        <w:t>Managed complex client relationships from initial discovery through solution development, negotiation, and implementation coordination.</w:t>
      </w:r>
    </w:p>
    <w:p>
      <w:pPr>
        <w:pStyle w:val="ResumeBullet"/>
      </w:pPr>
      <w:r>
        <w:rPr>
          <w:b/>
        </w:rPr>
        <w:t xml:space="preserve">• </w:t>
      </w:r>
      <w:r>
        <w:t>Partnered with operational and technical teams to translate client requirements into executable solutions and ensure successful delivery.</w:t>
      </w:r>
    </w:p>
    <w:p>
      <w:pPr>
        <w:pStyle w:val="ResumeBullet"/>
      </w:pPr>
      <w:r>
        <w:rPr>
          <w:b/>
        </w:rPr>
        <w:t xml:space="preserve">• </w:t>
      </w:r>
      <w:r>
        <w:t>Built a strong network across the Austin business community, creating long-term relationships that supported revenue growth and market expansion.</w:t>
      </w:r>
    </w:p>
    <w:tbl>
      <w:tblPr>
        <w:tblW w:type="auto" w:w="0"/>
        <w:jc w:val="center"/>
        <w:tblLayout w:type="fixed"/>
        <w:tblLook w:firstColumn="1" w:firstRow="1" w:lastColumn="0" w:lastRow="0" w:noHBand="0" w:noVBand="1" w:val="04A0"/>
      </w:tblPr>
      <w:tblGrid>
        <w:gridCol w:w="8064"/>
        <w:gridCol w:w="2160"/>
      </w:tblGrid>
      <w:tr>
        <w:tc>
          <w:tcPr>
            <w:tcW w:type="dxa" w:w="5227"/>
            <w:tcMar>
              <w:top w:w="0" w:type="dxa"/>
              <w:start w:w="0" w:type="dxa"/>
              <w:bottom w:w="0" w:type="dxa"/>
              <w:end w:w="0" w:type="dxa"/>
            </w:tcMar>
          </w:tcPr>
          <w:p>
            <w:pPr>
              <w:spacing w:after="40" w:before="80"/>
            </w:pPr>
            <w:r>
              <w:rPr>
                <w:b/>
                <w:sz w:val="20"/>
              </w:rPr>
              <w:t>Social Media Marketing Director</w:t>
            </w:r>
            <w:r>
              <w:rPr>
                <w:i/>
                <w:sz w:val="18"/>
              </w:rPr>
              <w:t xml:space="preserve">  |  GoLoveNow</w:t>
            </w:r>
          </w:p>
        </w:tc>
        <w:tc>
          <w:tcPr>
            <w:tcW w:type="dxa" w:w="5227"/>
            <w:tcMar>
              <w:top w:w="0" w:type="dxa"/>
              <w:start w:w="0" w:type="dxa"/>
              <w:bottom w:w="0" w:type="dxa"/>
              <w:end w:w="0" w:type="dxa"/>
            </w:tcMar>
          </w:tcPr>
          <w:p>
            <w:pPr>
              <w:spacing w:after="40" w:before="80"/>
              <w:jc w:val="right"/>
            </w:pPr>
            <w:r>
              <w:rPr>
                <w:sz w:val="17"/>
              </w:rPr>
              <w:t>May 2016 – Jun 2017</w:t>
            </w:r>
          </w:p>
        </w:tc>
      </w:tr>
    </w:tbl>
    <w:p>
      <w:pPr>
        <w:pStyle w:val="ResumeBullet"/>
      </w:pPr>
      <w:r>
        <w:rPr>
          <w:b/>
        </w:rPr>
        <w:t xml:space="preserve">• </w:t>
      </w:r>
      <w:r>
        <w:t>Led social media and digital marketing strategy to strengthen brand awareness, audience engagement, and organizational visibility.</w:t>
      </w:r>
    </w:p>
    <w:p>
      <w:pPr>
        <w:pStyle w:val="ResumeBullet"/>
      </w:pPr>
      <w:r>
        <w:rPr>
          <w:b/>
        </w:rPr>
        <w:t xml:space="preserve">• </w:t>
      </w:r>
      <w:r>
        <w:t>Developed content and campaign strategies aligned with broader organizational goals and growth initiatives.</w:t>
      </w:r>
    </w:p>
    <w:p>
      <w:pPr>
        <w:pStyle w:val="ResumeBullet"/>
      </w:pPr>
      <w:r>
        <w:rPr>
          <w:b/>
        </w:rPr>
        <w:t xml:space="preserve">• </w:t>
      </w:r>
      <w:r>
        <w:t>Used audience and performance data to refine digital strategy and improve engagement.</w:t>
      </w:r>
    </w:p>
    <w:p>
      <w:pPr>
        <w:pStyle w:val="Heading1"/>
        <w:pBdr>
          <w:bottom w:val="single" w:sz="8" w:space="2" w:color="333333"/>
        </w:pBdr>
      </w:pPr>
      <w:r>
        <w:rPr>
          <w:b/>
        </w:rPr>
        <w:t>LEADERSHIP &amp; INDUSTRY ENGAGEMENT</w:t>
      </w:r>
    </w:p>
    <w:p>
      <w:pPr>
        <w:spacing w:after="20" w:before="100"/>
      </w:pPr>
      <w:r>
        <w:rPr>
          <w:b/>
        </w:rPr>
        <w:t>Vice Chair</w:t>
      </w:r>
      <w:r>
        <w:rPr>
          <w:i/>
        </w:rPr>
        <w:t xml:space="preserve">  |  Texas Council for Human + AI Performance</w:t>
      </w:r>
    </w:p>
    <w:p>
      <w:pPr>
        <w:spacing w:after="40"/>
      </w:pPr>
      <w:r>
        <w:t>Help shape the Council’s strategy, programming, and growth, bringing together senior leaders to advance practical conversations around AI adoption, business performance, and organizational impact.</w:t>
      </w:r>
    </w:p>
    <w:p>
      <w:pPr>
        <w:spacing w:after="20" w:before="100"/>
      </w:pPr>
      <w:r>
        <w:rPr>
          <w:b/>
        </w:rPr>
        <w:t>Membership Committee</w:t>
      </w:r>
      <w:r>
        <w:rPr>
          <w:i/>
        </w:rPr>
        <w:t xml:space="preserve">  |  SIM Austin</w:t>
      </w:r>
    </w:p>
    <w:p>
      <w:pPr>
        <w:spacing w:after="40"/>
      </w:pPr>
      <w:r>
        <w:t>Support membership growth and engagement for Austin’s community of senior technology leaders, strengthening relationships across the region’s technology ecosystem.</w:t>
      </w:r>
    </w:p>
    <w:p>
      <w:pPr>
        <w:spacing w:after="20" w:before="100"/>
      </w:pPr>
      <w:r>
        <w:rPr>
          <w:b/>
        </w:rPr>
        <w:t>Advisory Board</w:t>
      </w:r>
      <w:r>
        <w:rPr>
          <w:i/>
        </w:rPr>
        <w:t xml:space="preserve">  |  Tech Allies</w:t>
      </w:r>
    </w:p>
    <w:p>
      <w:pPr>
        <w:spacing w:after="40"/>
      </w:pPr>
      <w:r>
        <w:t>Provide industry perspective and strategic guidance supporting the organization’s mission, programming, and engagement with the technology community.</w:t>
      </w:r>
    </w:p>
    <w:p>
      <w:pPr>
        <w:pStyle w:val="Heading1"/>
        <w:pBdr>
          <w:bottom w:val="single" w:sz="8" w:space="2" w:color="333333"/>
        </w:pBdr>
      </w:pPr>
      <w:r>
        <w:rPr>
          <w:b/>
        </w:rPr>
        <w:t>SPEAKING &amp; THOUGHT LEADERSHIP</w:t>
      </w:r>
    </w:p>
    <w:p>
      <w:pPr>
        <w:spacing w:after="60"/>
      </w:pPr>
      <w:r>
        <w:t>Experienced speaker, moderator, and facilitator on technology leadership, upward influence, strategic partnerships, professional brand development, and the business impact of emerging technology. Speaking engagements include industry conferences, executive forums, professional associations, and technology events across Texas and nationally.</w:t>
      </w:r>
    </w:p>
    <w:p>
      <w:pPr>
        <w:pStyle w:val="Heading1"/>
        <w:pBdr>
          <w:bottom w:val="single" w:sz="8" w:space="2" w:color="333333"/>
        </w:pBdr>
      </w:pPr>
      <w:r>
        <w:rPr>
          <w:b/>
        </w:rPr>
        <w:t>EDUCATION</w:t>
      </w:r>
    </w:p>
    <w:p>
      <w:pPr>
        <w:spacing w:after="20" w:before="60"/>
      </w:pPr>
      <w:r>
        <w:rPr>
          <w:b/>
        </w:rPr>
        <w:t>Master of Science, Information Technology</w:t>
      </w:r>
      <w:r>
        <w:t xml:space="preserve">  |  Western Governors University | June 2026</w:t>
      </w:r>
    </w:p>
    <w:p>
      <w:pPr>
        <w:spacing w:after="20" w:before="60"/>
      </w:pPr>
      <w:r>
        <w:rPr>
          <w:b/>
        </w:rPr>
        <w:t>Master of Business Administration</w:t>
      </w:r>
      <w:r>
        <w:t xml:space="preserve">  |  Western Governors University | In Progress</w:t>
      </w:r>
    </w:p>
    <w:p>
      <w:pPr>
        <w:spacing w:after="20" w:before="60"/>
      </w:pPr>
      <w:r>
        <w:rPr>
          <w:b/>
        </w:rPr>
        <w:t>Bachelor of Science, Marketing Management</w:t>
      </w:r>
      <w:r>
        <w:t xml:space="preserve">  |  Western Governors University | 2019</w:t>
      </w:r>
    </w:p>
    <w:p>
      <w:pPr>
        <w:spacing w:after="20" w:before="60"/>
      </w:pPr>
      <w:r>
        <w:rPr>
          <w:b/>
        </w:rPr>
        <w:t>Associate of Business Administration</w:t>
      </w:r>
      <w:r>
        <w:t xml:space="preserve">  |  Austin Community College | 2018</w:t>
      </w:r>
    </w:p>
    <w:p>
      <w:pPr>
        <w:pStyle w:val="Heading1"/>
        <w:pBdr>
          <w:bottom w:val="single" w:sz="8" w:space="2" w:color="333333"/>
        </w:pBdr>
      </w:pPr>
      <w:r>
        <w:rPr>
          <w:b/>
        </w:rPr>
        <w:t>CERTIFICATIONS</w:t>
      </w:r>
    </w:p>
    <w:p>
      <w:pPr>
        <w:spacing w:after="20"/>
      </w:pPr>
      <w:r>
        <w:t>Lean Six Sigma Green Belt (LSSGB) | Advanced Innovation Group Pro Excellence (AIGPE™)</w:t>
      </w:r>
    </w:p>
    <w:p>
      <w:pPr>
        <w:spacing w:after="20"/>
      </w:pPr>
      <w:r>
        <w:t>Certified Agile Leader (CAL1) | Scrum Alliance | Active through May 2028</w:t>
      </w:r>
    </w:p>
    <w:p>
      <w:pPr>
        <w:spacing w:after="20"/>
      </w:pPr>
      <w:r>
        <w:t>Associate Professional in Human Resources (aPHR) | HRCI | Active through December 2027</w:t>
      </w:r>
    </w:p>
    <w:sectPr w:rsidR="00FC693F" w:rsidRPr="0006063C" w:rsidSect="00034616">
      <w:footerReference w:type="default" r:id="rId9"/>
      <w:pgSz w:w="12240" w:h="15840"/>
      <w:pgMar w:top="720"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KAT RECTOR  |  katrector.com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65F91" w:themeColor="accent1" w:themeShade="BF"/>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pPr>
      <w:spacing w:after="40" w:line="247" w:lineRule="auto"/>
      <w:ind w:left="259" w:hanging="173"/>
    </w:pPr>
    <w:rPr>
      <w:rFonts w:ascii="Aptos" w:hAnsi="Apto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